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531</w:t>
      </w:r>
    </w:p>
    <w:p>
      <w:r>
        <w:t>Bundesgericht (BGE), 1970-12-16, DE</w:t>
      </w:r>
    </w:p>
    <w:p>
      <w:r>
        <w:rPr>
          <w:b/>
        </w:rPr>
        <w:t xml:space="preserve">Quelle: </w:t>
      </w:r>
      <w:r>
        <w:t>https://mcp.opencaselaw.ch/entscheid/bge_96 I 531</w:t>
      </w:r>
    </w:p>
    <w:p>
      <w:r>
        <w:t>FR: ATF 96 I 531</w:t>
      </w:r>
    </w:p>
    <w:p>
      <w:r>
        <w:t>IT: DTF 96 I 531</w:t>
      </w:r>
    </w:p>
    <w:p>
      <w:pPr>
        <w:pStyle w:val="Heading2"/>
      </w:pPr>
      <w:r>
        <w:t>Regeste</w:t>
      </w:r>
    </w:p>
    <w:p>
      <w:r>
        <w:t>Regeste Willkür; kantonales Strafprozessrecht, Kostenauflage. Fall von Überbindung der Kosten einer eingestellten Strafuntersuchung an den Anzeiger wegen leichtfertiger und mutwilliger Anzeigeerstattung.</w:t>
      </w:r>
    </w:p>
    <w:p>
      <w:pPr>
        <w:pStyle w:val="Heading2"/>
      </w:pPr>
      <w:r>
        <w:t>Erwägungen</w:t>
      </w:r>
    </w:p>
    <w:p>
      <w:r>
        <w:rPr>
          <w:b/>
        </w:rPr>
        <w:t>E. 1</w:t>
      </w:r>
    </w:p>
    <w:p>
      <w:r>
        <w:t>(Legitimation).</w:t>
      </w:r>
    </w:p>
    <w:p>
      <w:r>
        <w:rPr>
          <w:b/>
        </w:rPr>
        <w:t>E. 2</w:t>
      </w:r>
    </w:p>
    <w:p>
      <w:r>
        <w:t>a) (Verbot neuer Vorbringen ; 94 I 144 ). b) Der Beschwerdegegner Y. hat mit seinen Gegenbemerkungen zur Beschwerde eine Anzahl neuer Akten eingereicht. Er verlangt, diese vertraulich zu behandeln und sie der Beschwerdeführerin nicht zu öffnen. Würde diesem Begehren entsprochen und nähme das Gericht darin Einsicht, so würde ihm bekannt, was einer Prozesspartei, der Beschwerdeführerin, unbekannt bleibt. Dem Entscheid Akten zu Grunde zu legen, zu denen die Beschwerdeführerin keine Stellung beziehen konnte, käme einer Gehörsverweigerung gleich. Eine vertrauliche Aktenentgegennahme kann nur ganz ausnahmsweise in Kauf genommen werden, und zwar im Interesse des grundsätzlich Einsichtsberechtigten, um richterlich überprüfen zu können, ob diesem Einsichtsrecht zu Recht berechtigte und schützenswerte Geheimhaltungsinteressen entgegengehalten werden ( BGE 95 I 109 ). Ein solcher seltener Ausnahmefall liegt nicht vor und wird BGE 96 I 531 S. 534 auch nicht geltend gemacht. Diese "vertraulichen Akten" sind deshalb aus dem Recht zu weisen, und die darauf bezüglichen Ausführungen in der Beschwerdeantwort sind nicht zu beachten. Die Nichtbeachtung dieser neuen Vorbringen und Akten folgt überdies aus dem Verbot neuer Vorbringen.</w:t>
      </w:r>
    </w:p>
    <w:p>
      <w:r>
        <w:rPr>
          <w:b/>
        </w:rPr>
        <w:t>E. 3</w:t>
      </w:r>
    </w:p>
    <w:p>
      <w:r>
        <w:t>Die Untersuchung wurde als kriminelle Untersuchung im Sinne des Gesetzes über das Geschworenengericht vom 24. März 1852 (GGG) geführt. Die für die Einstellung der Untersuchung massgebenden §§ 83-85 GGG sehen keine Kostenauflage an den Verzeiger vor. Das Obergericht hat seinen Kostenentscheid auf § 84 GGG in Verbindung mit § 31 lit. a der auf korrektionelle Straffälle anwendbaren Strafprozessordnung vom 26. November 1867 gestützt. Darnach können bei Einstellung der Untersuchung "die ergangenen Kosten teilweise oder ganz dem Denunzianten oder dem Angeklagten oder beiden" auferlegt werden. Wie das Obergericht ausführt, werden nach ständiger Praxis dem Verzeiger die Kosten dann überbunden, wenn er in leichtfertiger und mutwilliger Weise Strafanzeige erhoben hat. Die Beschwerdeführerin betrachtet die Anwendung von § 31 lit. a StPO in Verbindung mit § 84 GGG als "fragwürdig", macht aber deswegen weder eine Verletzung kantonalen Verfahrensrechtes noch eine Verletzung von Art. 4 BV geltend. Sie anerkennt vielmehr, dass nach ständiger thurgauischer Rechtsprechung auch bei Einstellung einer kriminellen Untersuchung die Kostenauflage an den Anzeiger möglich ist, sofern dieser in verwerflicher, leichtfertiger oder mutwilliger Weise Strafanzeige erstattet hat. Nach ihrer Auffassung hat das Obergericht ihr aber willkürlich Leichtfertigkeit bei der Erstattung der Strafanzeige vorgeworfen und deshalb mit der Kostenüberbindung Art. 4 BV verletzt.</w:t>
      </w:r>
    </w:p>
    <w:p>
      <w:r>
        <w:rPr>
          <w:b/>
        </w:rPr>
        <w:t>E. 4</w:t>
      </w:r>
    </w:p>
    <w:p>
      <w:r>
        <w:t>Das Obergericht wirft der Beschwerdeführerin deshalb Leichtfertigkeit und Mutwilligkeit vor, weil sie ihre Beschuldigungen in der Strafanzeige ausschliesslich auf die Gutachten und Erklärungen Gerstenbergs gestützt habe, während diese widersprüchlichen Äusserungen Gerstenbergs, insbesondere seine nur schwer verständliche Handlungsweise am 16./17. Juni 1967, zu besonderer Vorsicht hätten Anlass geben müssen und zusätzliche Abklärungen erfordert hätten. Die Beschwerdeführerin wendet ein, diese Auffassung sei willkürlich, weil aktenwidrig. Die Rüge ist unbegründet. BGE 96 I 531 S. 535 a) Die Anzeige gegen Y. beruht auf der Annahme, der Beschwerdeführerin sei nicht das von den Experten Puyvelde, Voss und Gerstenberg begutachtete Gemälde, sondern eine Kopie davon geliefert worden. Diese Annahme stützte die Beschwerdeführerin in ihrer Strafanzeige auf die beiden eidesstattlichen Erklärungen Gerstenbergs vom 16. Juni 1967 und 17. Juni 1967, wonach die ihm vorgelegte Farbphotographie mit an Sicherheit grenzender Wahrscheinlichkeit nicht das von ihm am 8. August 1962 expertisierte Gemälde von Rubens darstelle und wonach das ihm in St. Gallen gezeigte Bild mit absoluter Sicherheit nicht mit dem von ihm begutachteten Bild identisch sei. Insoweit kann somit von einer aktenwidrigen Annahme des Obergerichtes keine Rede sein. b) Diese beiden eidesstattlichen Erklärungen Gerstenbergs waren an sich geeignet, Zweifel an der Identität des von der Beschwerdeführerin erworbenen mit dem von Gerstenberg begutachteten Gemälde zu wecken. Das Verhalten Gerstenbergs vom 16./17. Juni 1967 andererseits musste diese Zweifel erschüttern. Denn die abweichend von der eidesstattlichen Versicherung vom 16. Juni 1967 gleichentags abgegebene Bestätigung, die Farbphotographie stelle möglicherweise doch das von ihm begutachtete Gemälde dar, und der am nächsten Tag erfolgte Widerruf dieser Bestätigung verrieten die Unsicherheit Gerstenbergs und die Unzuverlässigkeit seiner verschiedenen, widersprüchlichen Beurteilungen. Es fällt denn auch auf und ist offensichtlich nicht einem Versehen zuzuschreiben, dass die Beschwerdeführerin diese Bestätigung Gerstenbergs vom 16. Juni 1967 und deren Widerruf in der Strafanzeige verschwiegen hat. Das Obergericht verfiel deshalb nicht in Willkür mit seiner sachlich vertretbaren Auffassung, wenn ein namhafter Gelehrter seine Meinung so oft ändere, Erklärungen abgebe und diese kurz darauf widerrufe, so hätte für die Beschwerdeführerin Anlass zu besonderer Vorsicht bestanden und zusätzliche Abklärungen wären absolut unerlässlich gewesen. Frei von Willkür ist auch die obergerichtliche Feststellung, entsprechende Untersuchungen seien unterblieben. Denn die Strafanzeige enthält keine Angaben über derartige Untersuchungen, die der Abklärung der widersprüchlichen Äusserungen Gerstenbergs dienten und dessen These von der Nichtidentität des begutachteten und des der Beschwerdeführerin gelieferten Bildes stützen sollten. BGE 96 I 531 S. 536 c) Diese Nichtidentität, selbst wenn sie festgestanden wäre oder von der Beschwerdeführerin gutgläubig hätte angenommen werden dürfen, vermochte zudem für sich allein die Verzeigung des Y. wegen Betruges und Urkundenfälschung nicht zu rechtfertigen, da mit ihr allein weder die Tatbestandsmerkmale des einen noch des anderen Deliktes erfüllt waren. Die Beschwerdeführerin erhob deshalb auch die weiteren Beschuldigungen, Y. habe sich die auf das Original beziehenden Gutachten arglistig beschafft und zusammen mit der Fälschung zu ihrer Täuschung und Schädigung in Verkehr gebracht, weshalb anzunehmen sei, dass er - möglicherweise als Schlüsselfigur - gewerbsmässig mit einer Bande von Kunstfälschern zusammen arbeite. Keine dieser Beschuldigungen konnte sich auf die Äusserungen Gerstenbergs stützen, die sich ausschliesslich auf die Identität des von ihm begutachteten mit dem von der Beschwerdeführerin erworbenen Gemälde bezogen, ohne sich mit der Frage des Zustandekommens der Gutachten oder des Inverkehrbringens des der Beschwerdeführerin verkauften Bildes samt Gutachten zu befassen. Andere Unterlagen für diese Beschuldigungen hat die Beschwerdeführerin in der Strafanzeige nicht vorgebracht. Sie entbehrten somit jeder Grundlage und beruhten auf haltlosen Verdächtigungen. Darin liegt ein prozessuales Verschulden, also ein zu missbilligendes Verhalten (ROBERT KEHL in ZStr. 64 (1949) S. 387 f., vgl. ZR 64 Nr. 51 S. 87 mit Literaturverweisungen, BGE 84 I 16 ). Angesichts dieser Umstände durfte das Obergericht ohne Willkür der Beschwerdeführerin die Untersuchungskosten wegen leichtfertiger und mutwilliger Anzeigeerstattung auferlegen.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